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89.png" ContentType="image/png"/>
  <Override PartName="/word/media/rId88.png" ContentType="image/png"/>
  <Override PartName="/word/media/rId85.png" ContentType="image/png"/>
  <Override PartName="/word/media/rId84.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28</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29"/>
    <w:bookmarkEnd w:id="30"/>
    <w:bookmarkStart w:id="40"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1"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1"/>
    <w:bookmarkStart w:id="32" w:name="gastric-lavage-2"/>
    <w:p>
      <w:pPr>
        <w:pStyle w:val="Heading2"/>
      </w:pPr>
      <w:r>
        <w:t xml:space="preserve">Gastric Lavage</w:t>
      </w:r>
    </w:p>
    <w:p>
      <w:pPr>
        <w:pStyle w:val="FirstParagraph"/>
      </w:pPr>
      <w:r>
        <w:t xml:space="preserve">The majority of fish caught during the study received gastric lavage. To evaluate the efficacy of the method, we euthanized nine Northern Pikeminnow after gastric lavage was completed and removed the remaining stomach contents via dissection. In each case, no additional stomach contents were identified, suggesting that gastric lavage was effective in removing stomach contents, although our sample size was low. However, in total, we only identified fish or fish parts in 44 (2.8%) of the 1,564 Northern Pikeminnow examined using gastric lavage. Aside from juvenile Chinook Salmon, identified species included Redshine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however, decomposition from digestion rendered most stomach contents unidentifiable.</w:t>
      </w:r>
    </w:p>
    <w:p>
      <w:pPr>
        <w:pStyle w:val="BodyText"/>
      </w:pPr>
      <w:r>
        <w:t xml:space="preserve">Although we only identified fish or fish parts within 2.8% of Northern Pikeminnow examined and that fish remnants were only 11.7% of the overall stomach contents, we believe those numbers to be misleading…</w:t>
      </w:r>
    </w:p>
    <w:bookmarkEnd w:id="32"/>
    <w:bookmarkStart w:id="33"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using mean daily water temperatures recorded at a nearby stream gage</w:t>
      </w:r>
      <w:r>
        <w:t xml:space="preserve"> </w:t>
      </w:r>
      <w:r>
        <w:t xml:space="preserve">(U.S. Geological Survey 2016)</w:t>
      </w:r>
      <w:r>
        <w:t xml:space="preserve">. This equates to 89.52 g of fish consumed during the DSR and NRR peak emigrations assuming the median value among diet scenarios (i.e., if 50% of their diet consists of fish); values ranged from a minimum of 45.23 g if only 10% of the diet is fish to a maximum of 100.47 g if 90% of the diet is fish.</w:t>
      </w:r>
    </w:p>
    <w:p>
      <w:pPr>
        <w:pStyle w:val="BodyText"/>
      </w:pPr>
      <w:r>
        <w:t xml:space="preserve">This approach currently assumes that juvenile Chinook Salmon are the only fish prey available to or preyed upon by Northern Pikeminnow. It further assumes that all prey available have energy densities equal to juvenile Chinook Salmon, which may not be far from the truth, given that other salmonids including juvenile steelhead and Sockeye Salmon are likely also prevalent as available prey in Deadwater Slough, especially during the spring migration. Additionally, hatchery smolt releases (Chinook Salmon, steelhead, and Sockeye Salmon) are also prevalent in the mainstem Salmon River during the spring migration. However, our study is focused on potential impacts to natural-origin DSR and NRR Chinook Salmon, in which case, let’s consider a</w:t>
      </w:r>
      <w:r>
        <w:t xml:space="preserve"> </w:t>
      </w:r>
      <w:r>
        <w:t xml:space="preserve">“</w:t>
      </w:r>
      <w:r>
        <w:t xml:space="preserve">thought exercise</w:t>
      </w:r>
      <w:r>
        <w:t xml:space="preserve">”</w:t>
      </w:r>
      <w:r>
        <w:t xml:space="preserve"> </w:t>
      </w:r>
      <w:r>
        <w:t xml:space="preserve">where DSR and NRR Chinook Salmon represent only 10% and 25% of total fish prey consumed by Northern Pikeminnow during these periods. Under these scenarios, the average Northern Pikeminnow would consume 8.95 g (range 4.52 – 10.05 g) if 10% of prey were natural-origin Chinook Salmon and 22.38 g (range 11.31 – 25.12) if 25%.</w:t>
      </w:r>
    </w:p>
    <w:p>
      <w:pPr>
        <w:pStyle w:val="BodyText"/>
      </w:pPr>
      <w:r>
        <w:t xml:space="preserve">To estimate the total number of possible juvenile Chinook Salmon that could be consumed, we divided the cumulative consumption in grams for an individual Northern Pikeminnow by the average weight of a Chinook Salmon emigrant (taken from all rotary screw traps in the Upper Salmon MPG) to come up with a juvenile equivalency, and then multiplied this by a</w:t>
      </w:r>
      <w:r>
        <w:t xml:space="preserve"> </w:t>
      </w:r>
      <w:r>
        <w:t xml:space="preserve">“</w:t>
      </w:r>
      <w:r>
        <w:t xml:space="preserve">stable</w:t>
      </w:r>
      <w:r>
        <w:t xml:space="preserve">”</w:t>
      </w:r>
      <w:r>
        <w:t xml:space="preserve"> </w:t>
      </w:r>
      <w:r>
        <w:t xml:space="preserve">estimate of abundance for Northern Pikeminnow in Deadwater Slough, resulting in an estimate of the equivalent toal number of Chinook Salmon juveniles consumed. If we assume an average juvenile Chinook Salmon of 10.6 g, the mean from DSR and NRR Chinook Salmon emigrants in the Upper Salmon MPG, this equates to 0.84 juvenile Chinook Salmon (range 0.43 – 0.94) under the 10% scenario and 2.11 juvenile Chinook Salmon (range 1.07 – 2.37) under the 25% scenario.</w:t>
      </w:r>
    </w:p>
    <w:p>
      <w:pPr>
        <w:pStyle w:val="BodyText"/>
      </w:pPr>
      <w:r>
        <w:t xml:space="preserve">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3"/>
    <w:bookmarkStart w:id="34" w:name="impacts-to-adult-returns"/>
    <w:p>
      <w:pPr>
        <w:pStyle w:val="Heading2"/>
      </w:pPr>
      <w:r>
        <w:t xml:space="preserve">Impacts to Adult Returns</w:t>
      </w:r>
    </w:p>
    <w:p>
      <w:pPr>
        <w:pStyle w:val="FirstParagraph"/>
      </w:pPr>
      <w:r>
        <w:t xml:space="preserve">Finally, let’s take our thought exercise one additional step and estimate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p>
      <w:pPr>
        <w:pStyle w:val="BodyText"/>
      </w:pPr>
      <w:r>
        <w:t xml:space="preserve">projections for the lower Columbia River (Beamesderfer et al. 1996) where substantial Northern Pikeminnow predation impacts on salmonids have led to bounty programs aimed at reducing Northern Pikeminnow abundance.</w:t>
      </w:r>
    </w:p>
    <w:bookmarkEnd w:id="38"/>
    <w:bookmarkStart w:id="39" w:name="conclusions"/>
    <w:p>
      <w:pPr>
        <w:pStyle w:val="Heading2"/>
      </w:pPr>
      <w:r>
        <w:t xml:space="preserve">Conclusions</w:t>
      </w:r>
    </w:p>
    <w:p>
      <w:pPr>
        <w:numPr>
          <w:ilvl w:val="0"/>
          <w:numId w:val="1002"/>
        </w:numPr>
        <w:pStyle w:val="Compact"/>
      </w:pPr>
      <w:r>
        <w:t xml:space="preserve">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p>
      <w:pPr>
        <w:numPr>
          <w:ilvl w:val="0"/>
          <w:numId w:val="1002"/>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2"/>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the Bureau of Reclamation, Idaho Office of Species Conservation, Idaho Deparment of Fish and Game, and the Lemhi Regional Land Trust, among others. Special thanks to Chelsea Welke, Tulley Mackey, Jared Barker, and Brian Hamilton for their help in the field. Special thanks to Caitlin Alcott and Inter-Fluve for their administrative support and guidance. Funding for this study was provided by the Bureau of Reclamation, Pacific Northwest Regional Office (contract No. 140R1021F0018) with assistance from the Idaho Office of Species Conservation.</w:t>
      </w:r>
    </w:p>
    <w:p>
      <w:r>
        <w:br w:type="page"/>
      </w:r>
    </w:p>
    <w:bookmarkEnd w:id="41"/>
    <w:bookmarkStart w:id="80" w:name="literature-cited"/>
    <w:p>
      <w:pPr>
        <w:pStyle w:val="Heading1"/>
      </w:pPr>
      <w:r>
        <w:t xml:space="preserve">Literature Cited</w:t>
      </w:r>
    </w:p>
    <w:bookmarkStart w:id="79"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4"/>
    <w:bookmarkStart w:id="45"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5"/>
    <w:bookmarkStart w:id="46"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8"/>
    <w:bookmarkStart w:id="49"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9"/>
    <w:bookmarkStart w:id="50"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50"/>
    <w:bookmarkStart w:id="51"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2"/>
    <w:bookmarkStart w:id="53"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3"/>
    <w:bookmarkStart w:id="54"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4"/>
    <w:bookmarkStart w:id="55"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5"/>
    <w:bookmarkStart w:id="56"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6"/>
    <w:bookmarkStart w:id="5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7"/>
    <w:bookmarkStart w:id="58"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8"/>
    <w:bookmarkStart w:id="59"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9"/>
    <w:bookmarkStart w:id="60"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0"/>
    <w:bookmarkStart w:id="61"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1"/>
    <w:bookmarkStart w:id="62"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2"/>
    <w:bookmarkStart w:id="63"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3"/>
    <w:bookmarkStart w:id="64"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4"/>
    <w:bookmarkStart w:id="65"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5"/>
    <w:bookmarkStart w:id="66"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6"/>
    <w:bookmarkStart w:id="67"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7"/>
    <w:bookmarkStart w:id="68"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8"/>
    <w:bookmarkStart w:id="69"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9"/>
    <w:bookmarkStart w:id="70"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0"/>
    <w:bookmarkStart w:id="71"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1"/>
    <w:bookmarkStart w:id="72"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2"/>
    <w:bookmarkStart w:id="73"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3"/>
    <w:bookmarkStart w:id="74"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4"/>
    <w:bookmarkStart w:id="75"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5"/>
    <w:bookmarkStart w:id="76"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6"/>
    <w:bookmarkStart w:id="7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7"/>
    <w:bookmarkStart w:id="7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8"/>
    <w:bookmarkEnd w:id="79"/>
    <w:p>
      <w:r>
        <w:br w:type="page"/>
      </w:r>
    </w:p>
    <w:bookmarkEnd w:id="80"/>
    <w:bookmarkStart w:id="82" w:name="tables"/>
    <w:p>
      <w:pPr>
        <w:pStyle w:val="Heading1"/>
      </w:pPr>
      <w:r>
        <w:t xml:space="preserve">Tables</w:t>
      </w:r>
    </w:p>
    <w:bookmarkStart w:id="81" w:name="tables"/>
    <w:bookmarkEnd w:id="81"/>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2"/>
    <w:bookmarkStart w:id="91" w:name="figures"/>
    <w:p>
      <w:pPr>
        <w:pStyle w:val="Heading1"/>
      </w:pPr>
      <w:r>
        <w:t xml:space="preserve">Figures</w:t>
      </w:r>
    </w:p>
    <w:bookmarkStart w:id="83" w:name="figures"/>
    <w:bookmarkEnd w:id="83"/>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4"/>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0" w:name="colophon"/>
    <w:p>
      <w:pPr>
        <w:pStyle w:val="Heading3"/>
      </w:pPr>
      <w:r>
        <w:t xml:space="preserve">Colophon</w:t>
      </w:r>
    </w:p>
    <w:p>
      <w:pPr>
        <w:pStyle w:val="FirstParagraph"/>
      </w:pPr>
      <w:r>
        <w:t xml:space="preserve">This report was generated on 2021-12-28 16:58:20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2021-12-28</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[f4dbe42] 2021-12-28: edits to m-r and gastric discussion</w:t>
      </w:r>
    </w:p>
    <w:bookmarkEnd w:id="90"/>
    <w:bookmarkEnd w:id="9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2021-12-28T23:58:22Z</dcterms:created>
  <dcterms:modified xsi:type="dcterms:W3CDTF">2021-12-28T23:58:22Z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28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